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28" w:rsidRPr="00DD486C" w:rsidRDefault="000E1628" w:rsidP="000E1628">
      <w:pPr>
        <w:jc w:val="center"/>
        <w:rPr>
          <w:b/>
          <w:bCs/>
          <w:sz w:val="24"/>
          <w:szCs w:val="24"/>
        </w:rPr>
      </w:pPr>
      <w:bookmarkStart w:id="0" w:name="_GoBack"/>
      <w:bookmarkEnd w:id="0"/>
      <w:r w:rsidRPr="00DD486C">
        <w:rPr>
          <w:b/>
          <w:bCs/>
          <w:sz w:val="24"/>
          <w:szCs w:val="24"/>
        </w:rPr>
        <w:t>ZARZĄDZENIE  Nr 14/2014</w:t>
      </w:r>
    </w:p>
    <w:p w:rsidR="000E1628" w:rsidRPr="00DD486C" w:rsidRDefault="000E1628" w:rsidP="000E1628">
      <w:pPr>
        <w:jc w:val="center"/>
        <w:rPr>
          <w:b/>
          <w:bCs/>
          <w:sz w:val="24"/>
          <w:szCs w:val="24"/>
        </w:rPr>
      </w:pPr>
      <w:r w:rsidRPr="00DD486C">
        <w:rPr>
          <w:b/>
          <w:bCs/>
          <w:sz w:val="24"/>
          <w:szCs w:val="24"/>
        </w:rPr>
        <w:t>WÓJTA  GMINY  DZIERZĄŻNIA</w:t>
      </w:r>
    </w:p>
    <w:p w:rsidR="000E1628" w:rsidRPr="00DD486C" w:rsidRDefault="000E1628" w:rsidP="000E1628">
      <w:pPr>
        <w:jc w:val="center"/>
        <w:rPr>
          <w:b/>
          <w:bCs/>
          <w:sz w:val="24"/>
          <w:szCs w:val="24"/>
        </w:rPr>
      </w:pPr>
      <w:r w:rsidRPr="00DD486C">
        <w:rPr>
          <w:b/>
          <w:bCs/>
          <w:sz w:val="24"/>
          <w:szCs w:val="24"/>
        </w:rPr>
        <w:t>z  dnia 05 maja 2014 roku</w:t>
      </w:r>
    </w:p>
    <w:p w:rsidR="000E1628" w:rsidRPr="00DD486C" w:rsidRDefault="000E1628" w:rsidP="000E1628">
      <w:pPr>
        <w:rPr>
          <w:bCs/>
          <w:sz w:val="24"/>
          <w:szCs w:val="24"/>
        </w:rPr>
      </w:pPr>
    </w:p>
    <w:p w:rsidR="000E1628" w:rsidRDefault="000E1628" w:rsidP="000E1628">
      <w:pPr>
        <w:rPr>
          <w:b/>
          <w:bCs/>
          <w:i/>
          <w:sz w:val="24"/>
          <w:szCs w:val="24"/>
        </w:rPr>
      </w:pPr>
      <w:r w:rsidRPr="00DD486C">
        <w:rPr>
          <w:b/>
          <w:bCs/>
          <w:i/>
          <w:sz w:val="24"/>
          <w:szCs w:val="24"/>
        </w:rPr>
        <w:t xml:space="preserve">  w sprawie zakładowego planu kont dla Projektu  ”Przygotowanie oddziałów przedszkolnych przy szkołach Podstawowych na terenie gminy Dzierzążnia  do świadczenia wysokiej jakości usług na rzecz dzieci w wieku przedszkolnym”  </w:t>
      </w:r>
    </w:p>
    <w:p w:rsidR="004B497C" w:rsidRPr="00DD486C" w:rsidRDefault="004B497C" w:rsidP="000E1628">
      <w:pPr>
        <w:rPr>
          <w:b/>
          <w:bCs/>
          <w:i/>
          <w:sz w:val="24"/>
          <w:szCs w:val="24"/>
        </w:rPr>
      </w:pPr>
    </w:p>
    <w:p w:rsidR="000E1628" w:rsidRPr="00DD486C" w:rsidRDefault="000E1628" w:rsidP="00DD486C">
      <w:pPr>
        <w:ind w:firstLine="708"/>
        <w:jc w:val="both"/>
        <w:rPr>
          <w:sz w:val="24"/>
          <w:szCs w:val="24"/>
        </w:rPr>
      </w:pPr>
      <w:r w:rsidRPr="00DD486C">
        <w:rPr>
          <w:sz w:val="24"/>
          <w:szCs w:val="24"/>
        </w:rPr>
        <w:t>Na podstawie przepisów art. 10 ust. 1 i 2 ustawy z dnia 29 września 1994 r. o  rachunkowości (t. j.  Dz. U. z 2013  roku poz. 330 z późn. zm.) oraz Rozporządzenia Ministra Finansów z dnia 5 lipca 2010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2013r, poz. 289 z późn. zm.), oraz art. 40 ustawy z dnia 27 sierpnia 2009 roku o finansach publicznych ( Dz. U. z 2013 roku, poz. 885 z późn. zm.)  zarządzam, co następuje:</w:t>
      </w:r>
    </w:p>
    <w:p w:rsidR="004F00D4" w:rsidRPr="00DD486C" w:rsidRDefault="004F00D4" w:rsidP="00DD486C">
      <w:pPr>
        <w:jc w:val="center"/>
        <w:rPr>
          <w:b/>
          <w:sz w:val="24"/>
          <w:szCs w:val="24"/>
        </w:rPr>
      </w:pPr>
      <w:r w:rsidRPr="00DD486C">
        <w:rPr>
          <w:b/>
          <w:sz w:val="24"/>
          <w:szCs w:val="24"/>
        </w:rPr>
        <w:t>§ 1.</w:t>
      </w:r>
    </w:p>
    <w:p w:rsidR="00373022" w:rsidRPr="00DD486C" w:rsidRDefault="00373022" w:rsidP="00DD486C">
      <w:pPr>
        <w:jc w:val="both"/>
        <w:rPr>
          <w:bCs/>
          <w:sz w:val="24"/>
          <w:szCs w:val="24"/>
        </w:rPr>
      </w:pPr>
      <w:r w:rsidRPr="00DD486C">
        <w:rPr>
          <w:sz w:val="24"/>
          <w:szCs w:val="24"/>
        </w:rPr>
        <w:t>Wprowadzam w Urzędzie Gminy w Dzierzążni zakładowy plan kont dla Projektu  ”Przygotowanie oddziałów przedszkolnych przy szkołach Podstawowych na terenie gminy Dzierzążnia  do świadczenia wysokiej jakości usług na rzecz dzieci w wieku przedszkolnym” , zwany dalej „Projektem” – zgodnie z załącznikiem do niniejszego zarządzenia</w:t>
      </w:r>
    </w:p>
    <w:p w:rsidR="00BF450B" w:rsidRPr="00DD486C" w:rsidRDefault="00373022" w:rsidP="00DD486C">
      <w:pPr>
        <w:jc w:val="center"/>
        <w:rPr>
          <w:b/>
          <w:sz w:val="24"/>
          <w:szCs w:val="24"/>
        </w:rPr>
      </w:pPr>
      <w:r w:rsidRPr="00DD486C">
        <w:rPr>
          <w:b/>
          <w:sz w:val="24"/>
          <w:szCs w:val="24"/>
        </w:rPr>
        <w:t>§ 2.</w:t>
      </w:r>
    </w:p>
    <w:p w:rsidR="00373022" w:rsidRPr="00DD486C" w:rsidRDefault="00373022" w:rsidP="00DD486C">
      <w:pPr>
        <w:jc w:val="both"/>
        <w:rPr>
          <w:sz w:val="24"/>
          <w:szCs w:val="24"/>
        </w:rPr>
      </w:pPr>
      <w:r w:rsidRPr="00DD486C">
        <w:rPr>
          <w:sz w:val="24"/>
          <w:szCs w:val="24"/>
        </w:rPr>
        <w:t>Zobowiązuję pracowników komórek organizacyjnych realizujących i uczestniczących w realizacji Projektu, do zapoznania się z treścią zarządzenia.</w:t>
      </w:r>
    </w:p>
    <w:p w:rsidR="00373022" w:rsidRPr="00DD486C" w:rsidRDefault="00373022" w:rsidP="00DD486C">
      <w:pPr>
        <w:jc w:val="center"/>
        <w:rPr>
          <w:b/>
          <w:sz w:val="24"/>
          <w:szCs w:val="24"/>
        </w:rPr>
      </w:pPr>
      <w:r w:rsidRPr="00DD486C">
        <w:rPr>
          <w:b/>
          <w:sz w:val="24"/>
          <w:szCs w:val="24"/>
        </w:rPr>
        <w:t>§ 3.</w:t>
      </w:r>
    </w:p>
    <w:p w:rsidR="00373022" w:rsidRPr="00DD486C" w:rsidRDefault="00373022" w:rsidP="00DD486C">
      <w:pPr>
        <w:jc w:val="both"/>
        <w:rPr>
          <w:sz w:val="24"/>
          <w:szCs w:val="24"/>
        </w:rPr>
      </w:pPr>
      <w:r w:rsidRPr="00DD486C">
        <w:rPr>
          <w:sz w:val="24"/>
          <w:szCs w:val="24"/>
        </w:rPr>
        <w:t>Za prawidłowe przestrzeganie zapisów niniejszego zarządzenia odpowiedzialni są pracownicy komórek organizacyjnych realizujących i uczestniczących w realizacji Projektu.</w:t>
      </w:r>
    </w:p>
    <w:p w:rsidR="00373022" w:rsidRPr="00DD486C" w:rsidRDefault="00373022" w:rsidP="00DD486C">
      <w:pPr>
        <w:jc w:val="center"/>
        <w:rPr>
          <w:b/>
          <w:sz w:val="24"/>
          <w:szCs w:val="24"/>
        </w:rPr>
      </w:pPr>
      <w:r w:rsidRPr="00DD486C">
        <w:rPr>
          <w:b/>
          <w:sz w:val="24"/>
          <w:szCs w:val="24"/>
        </w:rPr>
        <w:t>§ 4.</w:t>
      </w:r>
    </w:p>
    <w:p w:rsidR="00373022" w:rsidRDefault="00373022" w:rsidP="00DD486C">
      <w:pPr>
        <w:jc w:val="both"/>
        <w:rPr>
          <w:sz w:val="24"/>
          <w:szCs w:val="24"/>
        </w:rPr>
      </w:pPr>
      <w:r w:rsidRPr="00DD486C">
        <w:rPr>
          <w:sz w:val="24"/>
          <w:szCs w:val="24"/>
        </w:rPr>
        <w:t xml:space="preserve">Zarządzenie wchodzi w życie z dniem podpisania, z mocą obowiązującą od </w:t>
      </w:r>
      <w:r w:rsidR="00DD486C" w:rsidRPr="00DD486C">
        <w:rPr>
          <w:sz w:val="24"/>
          <w:szCs w:val="24"/>
        </w:rPr>
        <w:t>28 stycznia 2014 roku.</w:t>
      </w:r>
    </w:p>
    <w:p w:rsidR="00DD486C" w:rsidRDefault="00DD486C" w:rsidP="00DD486C">
      <w:pPr>
        <w:jc w:val="both"/>
        <w:rPr>
          <w:sz w:val="24"/>
          <w:szCs w:val="24"/>
        </w:rPr>
      </w:pPr>
    </w:p>
    <w:p w:rsidR="00DD486C" w:rsidRDefault="00DD486C" w:rsidP="00DD486C">
      <w:pPr>
        <w:jc w:val="both"/>
        <w:rPr>
          <w:sz w:val="24"/>
          <w:szCs w:val="24"/>
        </w:rPr>
      </w:pPr>
    </w:p>
    <w:p w:rsidR="00DD486C" w:rsidRDefault="00DD486C" w:rsidP="00DD486C">
      <w:pPr>
        <w:jc w:val="both"/>
        <w:rPr>
          <w:sz w:val="24"/>
          <w:szCs w:val="24"/>
        </w:rPr>
      </w:pPr>
    </w:p>
    <w:p w:rsidR="00DD486C" w:rsidRDefault="00DD486C" w:rsidP="00DD486C">
      <w:pPr>
        <w:jc w:val="both"/>
        <w:rPr>
          <w:sz w:val="24"/>
          <w:szCs w:val="24"/>
        </w:rPr>
      </w:pPr>
    </w:p>
    <w:p w:rsidR="00DD486C" w:rsidRPr="004B497C" w:rsidRDefault="00DD486C" w:rsidP="00DD486C">
      <w:pPr>
        <w:spacing w:line="240" w:lineRule="auto"/>
        <w:jc w:val="right"/>
        <w:rPr>
          <w:b/>
          <w:i/>
          <w:sz w:val="24"/>
          <w:szCs w:val="24"/>
        </w:rPr>
      </w:pPr>
      <w:r w:rsidRPr="004B497C">
        <w:rPr>
          <w:b/>
          <w:i/>
          <w:sz w:val="24"/>
          <w:szCs w:val="24"/>
        </w:rPr>
        <w:lastRenderedPageBreak/>
        <w:t xml:space="preserve">Załącznik Nr 1 </w:t>
      </w:r>
    </w:p>
    <w:p w:rsidR="00DD486C" w:rsidRPr="004B497C" w:rsidRDefault="00DD486C" w:rsidP="00DD486C">
      <w:pPr>
        <w:spacing w:line="240" w:lineRule="auto"/>
        <w:jc w:val="right"/>
        <w:rPr>
          <w:b/>
          <w:i/>
          <w:sz w:val="24"/>
          <w:szCs w:val="24"/>
        </w:rPr>
      </w:pPr>
      <w:r w:rsidRPr="004B497C">
        <w:rPr>
          <w:b/>
          <w:i/>
          <w:sz w:val="24"/>
          <w:szCs w:val="24"/>
        </w:rPr>
        <w:t xml:space="preserve">do </w:t>
      </w:r>
      <w:r w:rsidR="004B497C" w:rsidRPr="004B497C">
        <w:rPr>
          <w:b/>
          <w:i/>
          <w:sz w:val="24"/>
          <w:szCs w:val="24"/>
        </w:rPr>
        <w:t>Z</w:t>
      </w:r>
      <w:r w:rsidRPr="004B497C">
        <w:rPr>
          <w:b/>
          <w:i/>
          <w:sz w:val="24"/>
          <w:szCs w:val="24"/>
        </w:rPr>
        <w:t>arządzenia 14/2014</w:t>
      </w:r>
    </w:p>
    <w:p w:rsidR="00DD486C" w:rsidRPr="004B497C" w:rsidRDefault="00DD486C" w:rsidP="00DD486C">
      <w:pPr>
        <w:spacing w:line="240" w:lineRule="auto"/>
        <w:jc w:val="right"/>
        <w:rPr>
          <w:b/>
          <w:i/>
          <w:sz w:val="24"/>
          <w:szCs w:val="24"/>
        </w:rPr>
      </w:pPr>
      <w:r w:rsidRPr="004B497C">
        <w:rPr>
          <w:b/>
          <w:i/>
          <w:sz w:val="24"/>
          <w:szCs w:val="24"/>
        </w:rPr>
        <w:t>Wójta Gminy Dzierzążnia</w:t>
      </w:r>
    </w:p>
    <w:p w:rsidR="00DD486C" w:rsidRPr="004B497C" w:rsidRDefault="00DD486C" w:rsidP="004B497C">
      <w:pPr>
        <w:spacing w:line="240" w:lineRule="auto"/>
        <w:jc w:val="right"/>
        <w:rPr>
          <w:b/>
          <w:i/>
          <w:sz w:val="24"/>
          <w:szCs w:val="24"/>
        </w:rPr>
      </w:pPr>
      <w:r w:rsidRPr="004B497C">
        <w:rPr>
          <w:b/>
          <w:i/>
          <w:sz w:val="24"/>
          <w:szCs w:val="24"/>
        </w:rPr>
        <w:t>z dnia 05 maja 2014r.</w:t>
      </w:r>
    </w:p>
    <w:p w:rsidR="00DD486C" w:rsidRPr="004B497C" w:rsidRDefault="00DD486C" w:rsidP="004B497C">
      <w:pPr>
        <w:spacing w:line="240" w:lineRule="auto"/>
        <w:jc w:val="both"/>
        <w:rPr>
          <w:b/>
          <w:i/>
          <w:sz w:val="24"/>
          <w:szCs w:val="24"/>
        </w:rPr>
      </w:pPr>
      <w:r w:rsidRPr="004B497C">
        <w:rPr>
          <w:b/>
          <w:i/>
          <w:sz w:val="24"/>
          <w:szCs w:val="24"/>
        </w:rPr>
        <w:t xml:space="preserve">Plan kont dla Projektu ”Przygotowanie oddziałów przedszkolnych przy szkołach Podstawowych na terenie gminy Dzierzążnia  do świadczenia wysokiej jakości usług na rzecz dzieci w wieku przedszkolnym” </w:t>
      </w:r>
    </w:p>
    <w:p w:rsidR="00DD486C" w:rsidRPr="004F56FD" w:rsidRDefault="00DD486C" w:rsidP="004B497C">
      <w:pPr>
        <w:pStyle w:val="Akapitzlist"/>
        <w:numPr>
          <w:ilvl w:val="0"/>
          <w:numId w:val="1"/>
        </w:numPr>
        <w:spacing w:line="240" w:lineRule="auto"/>
        <w:jc w:val="both"/>
        <w:rPr>
          <w:sz w:val="24"/>
          <w:szCs w:val="24"/>
        </w:rPr>
      </w:pPr>
      <w:r w:rsidRPr="004F56FD">
        <w:rPr>
          <w:sz w:val="24"/>
          <w:szCs w:val="24"/>
        </w:rPr>
        <w:t>Księgi rachunkowe budżetu, związane z realizacją Projektu, prowadzone są w sied</w:t>
      </w:r>
      <w:r w:rsidR="004F56FD">
        <w:rPr>
          <w:sz w:val="24"/>
          <w:szCs w:val="24"/>
        </w:rPr>
        <w:t>zibie Urzędu Gminy w Dzierzążni. Dzierzążnia 28, 09-164 Dzierzążnia</w:t>
      </w:r>
    </w:p>
    <w:p w:rsidR="004F56FD" w:rsidRPr="004F56FD" w:rsidRDefault="00DD486C" w:rsidP="004B497C">
      <w:pPr>
        <w:pStyle w:val="Akapitzlist"/>
        <w:numPr>
          <w:ilvl w:val="0"/>
          <w:numId w:val="1"/>
        </w:numPr>
        <w:jc w:val="both"/>
        <w:rPr>
          <w:sz w:val="24"/>
          <w:szCs w:val="24"/>
        </w:rPr>
      </w:pPr>
      <w:r w:rsidRPr="004F56FD">
        <w:rPr>
          <w:sz w:val="24"/>
          <w:szCs w:val="24"/>
        </w:rPr>
        <w:t>Ewidencja księgowa dla realizowanych zadań w ramach Projektu jest prowadzona techniką komputerową za pomocą programu informatycznego FINANSE DDJ.</w:t>
      </w:r>
      <w:r w:rsidR="004F56FD" w:rsidRPr="004F56FD">
        <w:t xml:space="preserve"> </w:t>
      </w:r>
      <w:r w:rsidR="004F56FD" w:rsidRPr="004F56FD">
        <w:rPr>
          <w:sz w:val="24"/>
          <w:szCs w:val="24"/>
        </w:rPr>
        <w:t>– System  Finansowo – Księgowy- Autor ProgMan Software, 81-451 Gdynia Al. Zwycięstwa 96/98. System jest na bieżąco aktualizowany.</w:t>
      </w:r>
    </w:p>
    <w:p w:rsidR="004F56FD" w:rsidRPr="004F56FD" w:rsidRDefault="004F56FD" w:rsidP="004B497C">
      <w:pPr>
        <w:pStyle w:val="Akapitzlist"/>
        <w:numPr>
          <w:ilvl w:val="0"/>
          <w:numId w:val="1"/>
        </w:numPr>
        <w:spacing w:line="240" w:lineRule="auto"/>
        <w:jc w:val="both"/>
        <w:rPr>
          <w:sz w:val="24"/>
          <w:szCs w:val="24"/>
        </w:rPr>
      </w:pPr>
      <w:r w:rsidRPr="004F56FD">
        <w:rPr>
          <w:sz w:val="24"/>
          <w:szCs w:val="24"/>
        </w:rPr>
        <w:t xml:space="preserve">Podstawą ewidencji zdarzeń gospodarczych są dowody księgowe – oryginały. Zdarzenia gospodarcze związane z realizacją </w:t>
      </w:r>
      <w:r>
        <w:rPr>
          <w:sz w:val="24"/>
          <w:szCs w:val="24"/>
        </w:rPr>
        <w:t>Projektu</w:t>
      </w:r>
      <w:r w:rsidRPr="004F56FD">
        <w:rPr>
          <w:sz w:val="24"/>
          <w:szCs w:val="24"/>
        </w:rPr>
        <w:t>, księgowane są chronologicznie pod pozycją kolejną nadaną podczas dekretacji w ewidencji danej jednostki.</w:t>
      </w:r>
    </w:p>
    <w:p w:rsidR="004F56FD" w:rsidRPr="004F56FD" w:rsidRDefault="004F56FD" w:rsidP="004B497C">
      <w:pPr>
        <w:pStyle w:val="Akapitzlist"/>
        <w:numPr>
          <w:ilvl w:val="0"/>
          <w:numId w:val="1"/>
        </w:numPr>
        <w:spacing w:line="240" w:lineRule="auto"/>
        <w:jc w:val="both"/>
        <w:rPr>
          <w:sz w:val="24"/>
          <w:szCs w:val="24"/>
        </w:rPr>
      </w:pPr>
      <w:r w:rsidRPr="004F56FD">
        <w:rPr>
          <w:sz w:val="24"/>
          <w:szCs w:val="24"/>
        </w:rPr>
        <w:t xml:space="preserve">Oryginały dokumentów przechowywane są w oddzielnych segregatorach w księgowości budżetowej przez okres określony w umowie o dofinansowanie </w:t>
      </w:r>
      <w:r w:rsidR="00FB5CD9">
        <w:rPr>
          <w:sz w:val="24"/>
          <w:szCs w:val="24"/>
        </w:rPr>
        <w:t>Projektu</w:t>
      </w:r>
      <w:r w:rsidRPr="004F56FD">
        <w:rPr>
          <w:sz w:val="24"/>
          <w:szCs w:val="24"/>
        </w:rPr>
        <w:t>.</w:t>
      </w:r>
    </w:p>
    <w:p w:rsidR="004F56FD" w:rsidRPr="004F56FD" w:rsidRDefault="004F56FD" w:rsidP="004B497C">
      <w:pPr>
        <w:pStyle w:val="Akapitzlist"/>
        <w:numPr>
          <w:ilvl w:val="0"/>
          <w:numId w:val="1"/>
        </w:numPr>
        <w:spacing w:line="240" w:lineRule="auto"/>
        <w:jc w:val="both"/>
        <w:rPr>
          <w:sz w:val="24"/>
          <w:szCs w:val="24"/>
        </w:rPr>
      </w:pPr>
      <w:r w:rsidRPr="004F56FD">
        <w:rPr>
          <w:sz w:val="24"/>
          <w:szCs w:val="24"/>
        </w:rPr>
        <w:t xml:space="preserve">Pozostałe dokumenty: wniosek o dofinansowanie projektu, umowy itp.) przechowywane są w referacie merytorycznych nadzorującym realizację </w:t>
      </w:r>
      <w:r w:rsidR="00FB5CD9">
        <w:rPr>
          <w:sz w:val="24"/>
          <w:szCs w:val="24"/>
        </w:rPr>
        <w:t>Projektu</w:t>
      </w:r>
      <w:r w:rsidRPr="004F56FD">
        <w:rPr>
          <w:sz w:val="24"/>
          <w:szCs w:val="24"/>
        </w:rPr>
        <w:t xml:space="preserve"> t.j. na stanowisku ds. promocji gminy i obsługi funduszy strukturalnych.</w:t>
      </w:r>
    </w:p>
    <w:p w:rsidR="00DD486C" w:rsidRPr="004B497C" w:rsidRDefault="004F56FD" w:rsidP="004B497C">
      <w:pPr>
        <w:pStyle w:val="Akapitzlist"/>
        <w:numPr>
          <w:ilvl w:val="0"/>
          <w:numId w:val="1"/>
        </w:numPr>
        <w:jc w:val="both"/>
        <w:rPr>
          <w:sz w:val="24"/>
          <w:szCs w:val="24"/>
        </w:rPr>
      </w:pPr>
      <w:r w:rsidRPr="004F56FD">
        <w:rPr>
          <w:sz w:val="24"/>
          <w:szCs w:val="24"/>
        </w:rPr>
        <w:t>W planie finansowym Organu  Gminy ujmowane są wszystkie wydatki na realizację operacji zgodnie z klasyfikacją budżetową, w dziale 801rozdział 80103.</w:t>
      </w:r>
    </w:p>
    <w:p w:rsidR="00DD486C" w:rsidRPr="004F56FD" w:rsidRDefault="00DD486C" w:rsidP="004B497C">
      <w:pPr>
        <w:pStyle w:val="Akapitzlist"/>
        <w:numPr>
          <w:ilvl w:val="0"/>
          <w:numId w:val="1"/>
        </w:numPr>
        <w:spacing w:line="240" w:lineRule="auto"/>
        <w:jc w:val="both"/>
        <w:rPr>
          <w:sz w:val="24"/>
          <w:szCs w:val="24"/>
        </w:rPr>
      </w:pPr>
      <w:r w:rsidRPr="004F56FD">
        <w:rPr>
          <w:sz w:val="24"/>
          <w:szCs w:val="24"/>
        </w:rPr>
        <w:t>Zdarzenia gospodarcze ewidencjonowane za pomocą operacji księgowych ujmowane są na kontach w PLN.</w:t>
      </w:r>
    </w:p>
    <w:p w:rsidR="00DD486C" w:rsidRPr="004F56FD" w:rsidRDefault="00DD486C" w:rsidP="004B497C">
      <w:pPr>
        <w:pStyle w:val="Akapitzlist"/>
        <w:numPr>
          <w:ilvl w:val="0"/>
          <w:numId w:val="1"/>
        </w:numPr>
        <w:spacing w:line="240" w:lineRule="auto"/>
        <w:jc w:val="both"/>
        <w:rPr>
          <w:sz w:val="24"/>
          <w:szCs w:val="24"/>
        </w:rPr>
      </w:pPr>
      <w:r w:rsidRPr="004F56FD">
        <w:rPr>
          <w:sz w:val="24"/>
          <w:szCs w:val="24"/>
        </w:rPr>
        <w:t xml:space="preserve">Do obsługi Projektu stosuje się zasady rachunkowości przyjęte zarządzeniem 34/2010 </w:t>
      </w:r>
      <w:r w:rsidR="004F56FD" w:rsidRPr="004F56FD">
        <w:rPr>
          <w:sz w:val="24"/>
          <w:szCs w:val="24"/>
        </w:rPr>
        <w:t>z dnia 29 grudnia  2010 roku Wójta Gminy Dzierzążnia,</w:t>
      </w:r>
      <w:r w:rsidR="00FB5CD9">
        <w:rPr>
          <w:sz w:val="24"/>
          <w:szCs w:val="24"/>
        </w:rPr>
        <w:t xml:space="preserve"> ze zmianami, </w:t>
      </w:r>
      <w:r w:rsidR="004F56FD" w:rsidRPr="004F56FD">
        <w:rPr>
          <w:sz w:val="24"/>
          <w:szCs w:val="24"/>
        </w:rPr>
        <w:t xml:space="preserve"> w sprawie  ustalenia przyjętych zasad polityki rachunkowości  w Urzędzie Gminy Dzierzążnia oraz  jednostkach dla których obsługę księgową prowadzi Urząd, z uwzględnieniem:</w:t>
      </w:r>
    </w:p>
    <w:p w:rsidR="004F56FD" w:rsidRPr="004F56FD" w:rsidRDefault="004F56FD" w:rsidP="004B497C">
      <w:pPr>
        <w:pStyle w:val="Akapitzlist"/>
        <w:numPr>
          <w:ilvl w:val="0"/>
          <w:numId w:val="2"/>
        </w:numPr>
        <w:spacing w:line="240" w:lineRule="auto"/>
        <w:jc w:val="both"/>
        <w:rPr>
          <w:sz w:val="24"/>
          <w:szCs w:val="24"/>
        </w:rPr>
      </w:pPr>
      <w:r w:rsidRPr="004F56FD">
        <w:rPr>
          <w:sz w:val="24"/>
          <w:szCs w:val="24"/>
        </w:rPr>
        <w:t>Planu kont dla Projektu, klasyfikacji wydatków finansowanych z funduszy strukturalnych oraz klasyfikacji budżetowej;</w:t>
      </w:r>
    </w:p>
    <w:p w:rsidR="004F56FD" w:rsidRPr="004B497C" w:rsidRDefault="004F56FD" w:rsidP="004B497C">
      <w:pPr>
        <w:pStyle w:val="Akapitzlist"/>
        <w:numPr>
          <w:ilvl w:val="0"/>
          <w:numId w:val="2"/>
        </w:numPr>
        <w:spacing w:line="240" w:lineRule="auto"/>
        <w:jc w:val="both"/>
        <w:rPr>
          <w:b/>
          <w:sz w:val="24"/>
          <w:szCs w:val="24"/>
        </w:rPr>
      </w:pPr>
      <w:r w:rsidRPr="004F56FD">
        <w:rPr>
          <w:sz w:val="24"/>
          <w:szCs w:val="24"/>
        </w:rPr>
        <w:t xml:space="preserve">Dla Projektu otwarty jest oddzielny rachunek bankowy </w:t>
      </w:r>
      <w:r w:rsidR="00FB5CD9">
        <w:rPr>
          <w:sz w:val="24"/>
          <w:szCs w:val="24"/>
        </w:rPr>
        <w:t xml:space="preserve">w walucie PLN, prowadzony przez Bank Spółdzielczy w Płońsku, Oddział w Dzierzążni o numerze </w:t>
      </w:r>
      <w:r w:rsidR="00FB5CD9" w:rsidRPr="004B497C">
        <w:rPr>
          <w:b/>
          <w:sz w:val="24"/>
          <w:szCs w:val="24"/>
        </w:rPr>
        <w:t>76 8230 0007 5000 0941 2037 0228.</w:t>
      </w:r>
    </w:p>
    <w:p w:rsidR="004F56FD" w:rsidRPr="00FB5CD9" w:rsidRDefault="004F56FD" w:rsidP="004B497C">
      <w:pPr>
        <w:pStyle w:val="Akapitzlist"/>
        <w:numPr>
          <w:ilvl w:val="0"/>
          <w:numId w:val="1"/>
        </w:numPr>
        <w:spacing w:line="240" w:lineRule="auto"/>
        <w:jc w:val="both"/>
        <w:rPr>
          <w:sz w:val="24"/>
          <w:szCs w:val="24"/>
        </w:rPr>
      </w:pPr>
      <w:r w:rsidRPr="00FB5CD9">
        <w:rPr>
          <w:bCs/>
          <w:sz w:val="24"/>
          <w:szCs w:val="24"/>
        </w:rPr>
        <w:t xml:space="preserve">W celu wyodrębnienia kont uczestniczących w realizacji w.wym. </w:t>
      </w:r>
      <w:r w:rsidR="004B497C">
        <w:rPr>
          <w:bCs/>
          <w:sz w:val="24"/>
          <w:szCs w:val="24"/>
        </w:rPr>
        <w:t xml:space="preserve">Projektu </w:t>
      </w:r>
      <w:r w:rsidRPr="00FB5CD9">
        <w:rPr>
          <w:bCs/>
          <w:sz w:val="24"/>
          <w:szCs w:val="24"/>
        </w:rPr>
        <w:t xml:space="preserve">stosowany </w:t>
      </w:r>
      <w:r w:rsidRPr="00FB5CD9">
        <w:rPr>
          <w:b/>
          <w:bCs/>
          <w:sz w:val="24"/>
          <w:szCs w:val="24"/>
        </w:rPr>
        <w:t>jest kod/zadanie o numerze 3</w:t>
      </w:r>
      <w:r w:rsidRPr="00FB5CD9">
        <w:rPr>
          <w:bCs/>
          <w:sz w:val="24"/>
          <w:szCs w:val="24"/>
        </w:rPr>
        <w:t>, który pozwala na identyfikację operacji gospodarczych.</w:t>
      </w:r>
    </w:p>
    <w:p w:rsidR="004F56FD" w:rsidRPr="00FB5CD9" w:rsidRDefault="004F56FD" w:rsidP="004B497C">
      <w:pPr>
        <w:pStyle w:val="Akapitzlist"/>
        <w:numPr>
          <w:ilvl w:val="0"/>
          <w:numId w:val="1"/>
        </w:numPr>
        <w:spacing w:line="240" w:lineRule="auto"/>
        <w:jc w:val="both"/>
        <w:rPr>
          <w:sz w:val="24"/>
          <w:szCs w:val="24"/>
        </w:rPr>
      </w:pPr>
      <w:r w:rsidRPr="00FB5CD9">
        <w:rPr>
          <w:bCs/>
          <w:sz w:val="24"/>
          <w:szCs w:val="24"/>
        </w:rPr>
        <w:t>Dokumenty stanowiące podstawę dokonania płatności i księgowania powinny być poddane kontroli przed zrealizowaniem wydatku. Każdy dowód winien być sprawdzony:</w:t>
      </w:r>
    </w:p>
    <w:p w:rsidR="004F56FD" w:rsidRPr="004B497C" w:rsidRDefault="004F56FD" w:rsidP="004B497C">
      <w:pPr>
        <w:numPr>
          <w:ilvl w:val="0"/>
          <w:numId w:val="4"/>
        </w:numPr>
        <w:spacing w:line="240" w:lineRule="auto"/>
        <w:jc w:val="both"/>
        <w:rPr>
          <w:bCs/>
          <w:sz w:val="24"/>
          <w:szCs w:val="24"/>
        </w:rPr>
      </w:pPr>
      <w:r w:rsidRPr="004F56FD">
        <w:rPr>
          <w:bCs/>
          <w:sz w:val="24"/>
          <w:szCs w:val="24"/>
        </w:rPr>
        <w:t>Pod względem merytorycznym – oznacza to, że osob</w:t>
      </w:r>
      <w:r w:rsidR="00FB5CD9">
        <w:rPr>
          <w:bCs/>
          <w:sz w:val="24"/>
          <w:szCs w:val="24"/>
        </w:rPr>
        <w:t>a odpowiedzialna za realizację P</w:t>
      </w:r>
      <w:r w:rsidRPr="004F56FD">
        <w:rPr>
          <w:bCs/>
          <w:sz w:val="24"/>
          <w:szCs w:val="24"/>
        </w:rPr>
        <w:t xml:space="preserve">rojektu, dokonuje </w:t>
      </w:r>
      <w:r w:rsidRPr="004B497C">
        <w:rPr>
          <w:bCs/>
          <w:sz w:val="24"/>
          <w:szCs w:val="24"/>
        </w:rPr>
        <w:t>opisu faktury, zgodnie z ustalonym wzorem. Sprawdza rzetelność celowość i legalność zawartych w tym dokumencie danych, co powinno być potwierdzone podpisem i pieczątką.</w:t>
      </w:r>
    </w:p>
    <w:p w:rsidR="004F56FD" w:rsidRPr="004B497C" w:rsidRDefault="004F56FD" w:rsidP="004B497C">
      <w:pPr>
        <w:numPr>
          <w:ilvl w:val="0"/>
          <w:numId w:val="4"/>
        </w:numPr>
        <w:spacing w:line="240" w:lineRule="auto"/>
        <w:jc w:val="both"/>
        <w:rPr>
          <w:bCs/>
          <w:sz w:val="24"/>
          <w:szCs w:val="24"/>
        </w:rPr>
      </w:pPr>
      <w:r w:rsidRPr="004B497C">
        <w:rPr>
          <w:bCs/>
          <w:sz w:val="24"/>
          <w:szCs w:val="24"/>
        </w:rPr>
        <w:t xml:space="preserve">Pod względem formalno – rachunkowym – oznacza to, że dowód został wystawiony w sposób prawidłowy, zawiera wszystkie wymagane elementy oraz dane liczbowe nie zawierają błędów rachunkowych. Kontrola formalno </w:t>
      </w:r>
      <w:r w:rsidR="00FB5CD9" w:rsidRPr="004B497C">
        <w:rPr>
          <w:bCs/>
          <w:sz w:val="24"/>
          <w:szCs w:val="24"/>
        </w:rPr>
        <w:t xml:space="preserve">- </w:t>
      </w:r>
      <w:r w:rsidRPr="004B497C">
        <w:rPr>
          <w:bCs/>
          <w:sz w:val="24"/>
          <w:szCs w:val="24"/>
        </w:rPr>
        <w:t>rachunkowa winna być potwierdzona podpisem upoważnionej osoby.</w:t>
      </w:r>
    </w:p>
    <w:p w:rsidR="004F56FD" w:rsidRPr="004B497C" w:rsidRDefault="004F56FD" w:rsidP="004B497C">
      <w:pPr>
        <w:pStyle w:val="Akapitzlist"/>
        <w:numPr>
          <w:ilvl w:val="0"/>
          <w:numId w:val="1"/>
        </w:numPr>
        <w:spacing w:line="240" w:lineRule="auto"/>
        <w:jc w:val="both"/>
        <w:rPr>
          <w:bCs/>
          <w:sz w:val="24"/>
          <w:szCs w:val="24"/>
        </w:rPr>
      </w:pPr>
      <w:r w:rsidRPr="004B497C">
        <w:rPr>
          <w:bCs/>
          <w:sz w:val="24"/>
          <w:szCs w:val="24"/>
        </w:rPr>
        <w:t>Dowody księgowe sprawdzone pod względem merytorycznym i opisane przez pracownika odpowie</w:t>
      </w:r>
      <w:r w:rsidR="00FB5CD9" w:rsidRPr="004B497C">
        <w:rPr>
          <w:bCs/>
          <w:sz w:val="24"/>
          <w:szCs w:val="24"/>
        </w:rPr>
        <w:t>dzialnego za P</w:t>
      </w:r>
      <w:r w:rsidRPr="004B497C">
        <w:rPr>
          <w:bCs/>
          <w:sz w:val="24"/>
          <w:szCs w:val="24"/>
        </w:rPr>
        <w:t>rojekt</w:t>
      </w:r>
      <w:r w:rsidR="00FB5CD9" w:rsidRPr="004B497C">
        <w:rPr>
          <w:bCs/>
          <w:sz w:val="24"/>
          <w:szCs w:val="24"/>
        </w:rPr>
        <w:t xml:space="preserve"> (koordynatora) </w:t>
      </w:r>
      <w:r w:rsidRPr="004B497C">
        <w:rPr>
          <w:bCs/>
          <w:sz w:val="24"/>
          <w:szCs w:val="24"/>
        </w:rPr>
        <w:t xml:space="preserve">, podlegają sprawdzeniu pod względem formalno – rachunkowym </w:t>
      </w:r>
      <w:r w:rsidR="00FB5CD9" w:rsidRPr="004B497C">
        <w:rPr>
          <w:bCs/>
          <w:sz w:val="24"/>
          <w:szCs w:val="24"/>
        </w:rPr>
        <w:t>przez księgowego Projektu</w:t>
      </w:r>
      <w:r w:rsidRPr="004B497C">
        <w:rPr>
          <w:bCs/>
          <w:sz w:val="24"/>
          <w:szCs w:val="24"/>
        </w:rPr>
        <w:t xml:space="preserve">, który dokonuje  dekretacji księgowej, przekazuje do zatwierdzenia przez </w:t>
      </w:r>
      <w:r w:rsidR="00FB5CD9" w:rsidRPr="004B497C">
        <w:rPr>
          <w:bCs/>
          <w:sz w:val="24"/>
          <w:szCs w:val="24"/>
        </w:rPr>
        <w:t xml:space="preserve">Koordynatora </w:t>
      </w:r>
      <w:r w:rsidRPr="004B497C">
        <w:rPr>
          <w:bCs/>
          <w:sz w:val="24"/>
          <w:szCs w:val="24"/>
        </w:rPr>
        <w:t xml:space="preserve"> i </w:t>
      </w:r>
      <w:r w:rsidR="00FB5CD9" w:rsidRPr="004B497C">
        <w:rPr>
          <w:bCs/>
          <w:sz w:val="24"/>
          <w:szCs w:val="24"/>
        </w:rPr>
        <w:t xml:space="preserve"> Księgowego Projektu</w:t>
      </w:r>
      <w:r w:rsidRPr="004B497C">
        <w:rPr>
          <w:bCs/>
          <w:sz w:val="24"/>
          <w:szCs w:val="24"/>
        </w:rPr>
        <w:t>,</w:t>
      </w:r>
      <w:r w:rsidR="00FB5CD9" w:rsidRPr="004B497C">
        <w:rPr>
          <w:bCs/>
          <w:sz w:val="24"/>
          <w:szCs w:val="24"/>
        </w:rPr>
        <w:t xml:space="preserve"> a następnie do zapłaty do pracownika referatu finansowego </w:t>
      </w:r>
      <w:r w:rsidRPr="004B497C">
        <w:rPr>
          <w:bCs/>
          <w:sz w:val="24"/>
          <w:szCs w:val="24"/>
        </w:rPr>
        <w:t>Następnie przekazywany jest do zaksięgowania i  nadawany jest numer ewidencji księgowej.</w:t>
      </w:r>
    </w:p>
    <w:p w:rsidR="004F56FD" w:rsidRPr="004B497C" w:rsidRDefault="004F56FD" w:rsidP="004B497C">
      <w:pPr>
        <w:pStyle w:val="Akapitzlist"/>
        <w:numPr>
          <w:ilvl w:val="0"/>
          <w:numId w:val="1"/>
        </w:numPr>
        <w:spacing w:line="240" w:lineRule="auto"/>
        <w:jc w:val="both"/>
        <w:rPr>
          <w:bCs/>
          <w:sz w:val="24"/>
          <w:szCs w:val="24"/>
        </w:rPr>
      </w:pPr>
      <w:r w:rsidRPr="004B497C">
        <w:rPr>
          <w:bCs/>
          <w:sz w:val="24"/>
          <w:szCs w:val="24"/>
        </w:rPr>
        <w:t xml:space="preserve">Za dokumenty księgowe dotyczące realizacji </w:t>
      </w:r>
      <w:r w:rsidR="00FB5CD9" w:rsidRPr="004B497C">
        <w:rPr>
          <w:bCs/>
          <w:sz w:val="24"/>
          <w:szCs w:val="24"/>
        </w:rPr>
        <w:t>Projektu</w:t>
      </w:r>
      <w:r w:rsidR="00462630" w:rsidRPr="004B497C">
        <w:rPr>
          <w:bCs/>
          <w:sz w:val="24"/>
          <w:szCs w:val="24"/>
        </w:rPr>
        <w:t xml:space="preserve"> </w:t>
      </w:r>
      <w:r w:rsidR="00FB5CD9" w:rsidRPr="004B497C">
        <w:rPr>
          <w:bCs/>
          <w:sz w:val="24"/>
          <w:szCs w:val="24"/>
        </w:rPr>
        <w:t xml:space="preserve">odpowiada księgowy Projekty, natomiast za umowę </w:t>
      </w:r>
      <w:r w:rsidRPr="004B497C">
        <w:rPr>
          <w:bCs/>
          <w:sz w:val="24"/>
          <w:szCs w:val="24"/>
        </w:rPr>
        <w:t xml:space="preserve"> o dofinansowanie odpowiada Skarbnik Gminy.</w:t>
      </w:r>
    </w:p>
    <w:p w:rsidR="004F56FD" w:rsidRPr="004B497C" w:rsidRDefault="004F56FD" w:rsidP="004B497C">
      <w:pPr>
        <w:pStyle w:val="Akapitzlist"/>
        <w:numPr>
          <w:ilvl w:val="0"/>
          <w:numId w:val="1"/>
        </w:numPr>
        <w:spacing w:line="240" w:lineRule="auto"/>
        <w:jc w:val="both"/>
        <w:rPr>
          <w:bCs/>
          <w:sz w:val="24"/>
          <w:szCs w:val="24"/>
        </w:rPr>
      </w:pPr>
      <w:r w:rsidRPr="004B497C">
        <w:rPr>
          <w:bCs/>
          <w:sz w:val="24"/>
          <w:szCs w:val="24"/>
        </w:rPr>
        <w:t>Za pozostałe dokumenty dotyczące realizacji</w:t>
      </w:r>
      <w:r w:rsidR="00471CED" w:rsidRPr="004B497C">
        <w:rPr>
          <w:bCs/>
          <w:sz w:val="24"/>
          <w:szCs w:val="24"/>
        </w:rPr>
        <w:t xml:space="preserve"> Projektu</w:t>
      </w:r>
      <w:r w:rsidRPr="004B497C">
        <w:rPr>
          <w:bCs/>
          <w:sz w:val="24"/>
          <w:szCs w:val="24"/>
        </w:rPr>
        <w:t xml:space="preserve"> np. wniosek o dofinansowanie projektu, wszelkie uzupełnienia, przetargi, umowy odpowiada pracownik nadzorujący realizację </w:t>
      </w:r>
      <w:r w:rsidR="00462630" w:rsidRPr="004B497C">
        <w:rPr>
          <w:bCs/>
          <w:sz w:val="24"/>
          <w:szCs w:val="24"/>
        </w:rPr>
        <w:t xml:space="preserve">Projekt </w:t>
      </w:r>
      <w:r w:rsidRPr="004B497C">
        <w:rPr>
          <w:bCs/>
          <w:sz w:val="24"/>
          <w:szCs w:val="24"/>
        </w:rPr>
        <w:t xml:space="preserve"> t.j. </w:t>
      </w:r>
      <w:r w:rsidR="00462630" w:rsidRPr="004B497C">
        <w:rPr>
          <w:bCs/>
          <w:sz w:val="24"/>
          <w:szCs w:val="24"/>
        </w:rPr>
        <w:t>Koordynator</w:t>
      </w:r>
      <w:r w:rsidR="004B497C">
        <w:rPr>
          <w:bCs/>
          <w:sz w:val="24"/>
          <w:szCs w:val="24"/>
        </w:rPr>
        <w:t xml:space="preserve"> Projektu</w:t>
      </w:r>
    </w:p>
    <w:p w:rsidR="00462630" w:rsidRPr="004B497C" w:rsidRDefault="00462630" w:rsidP="004B497C">
      <w:pPr>
        <w:spacing w:line="240" w:lineRule="auto"/>
        <w:jc w:val="both"/>
        <w:rPr>
          <w:sz w:val="24"/>
          <w:szCs w:val="24"/>
        </w:rPr>
      </w:pPr>
      <w:r w:rsidRPr="004B497C">
        <w:rPr>
          <w:sz w:val="24"/>
          <w:szCs w:val="24"/>
        </w:rPr>
        <w:t xml:space="preserve">Plan kont jednostki samorządu terytorialnego – ORGANU. </w:t>
      </w:r>
    </w:p>
    <w:p w:rsidR="00DD486C" w:rsidRPr="004B497C" w:rsidRDefault="00462630" w:rsidP="004B497C">
      <w:pPr>
        <w:pStyle w:val="Akapitzlist"/>
        <w:numPr>
          <w:ilvl w:val="0"/>
          <w:numId w:val="5"/>
        </w:numPr>
        <w:spacing w:line="240" w:lineRule="auto"/>
        <w:jc w:val="both"/>
        <w:rPr>
          <w:sz w:val="24"/>
          <w:szCs w:val="24"/>
        </w:rPr>
      </w:pPr>
      <w:r w:rsidRPr="004B497C">
        <w:rPr>
          <w:sz w:val="24"/>
          <w:szCs w:val="24"/>
        </w:rPr>
        <w:t>Wykaz kont</w:t>
      </w:r>
    </w:p>
    <w:p w:rsidR="00462630" w:rsidRPr="004B497C" w:rsidRDefault="00462630" w:rsidP="004B497C">
      <w:pPr>
        <w:pStyle w:val="Akapitzlist"/>
        <w:spacing w:line="240" w:lineRule="auto"/>
        <w:ind w:left="1635"/>
        <w:jc w:val="both"/>
        <w:rPr>
          <w:sz w:val="24"/>
          <w:szCs w:val="24"/>
        </w:rPr>
      </w:pPr>
      <w:r w:rsidRPr="004B497C">
        <w:rPr>
          <w:sz w:val="24"/>
          <w:szCs w:val="24"/>
        </w:rPr>
        <w:t>Konta bilansowe</w:t>
      </w:r>
    </w:p>
    <w:p w:rsidR="00462630" w:rsidRPr="004B497C" w:rsidRDefault="00462630" w:rsidP="004B497C">
      <w:pPr>
        <w:pStyle w:val="Akapitzlist"/>
        <w:numPr>
          <w:ilvl w:val="0"/>
          <w:numId w:val="6"/>
        </w:numPr>
        <w:spacing w:line="240" w:lineRule="auto"/>
        <w:jc w:val="both"/>
        <w:rPr>
          <w:sz w:val="24"/>
          <w:szCs w:val="24"/>
        </w:rPr>
      </w:pPr>
      <w:r w:rsidRPr="004B497C">
        <w:rPr>
          <w:sz w:val="24"/>
          <w:szCs w:val="24"/>
        </w:rPr>
        <w:t>133 -003 /UE  Rachunek budżetu – fundusze pomocowe – udział UE</w:t>
      </w:r>
    </w:p>
    <w:p w:rsidR="00462630" w:rsidRPr="004B497C" w:rsidRDefault="00462630" w:rsidP="004B497C">
      <w:pPr>
        <w:pStyle w:val="Akapitzlist"/>
        <w:numPr>
          <w:ilvl w:val="0"/>
          <w:numId w:val="6"/>
        </w:numPr>
        <w:jc w:val="both"/>
        <w:rPr>
          <w:sz w:val="24"/>
          <w:szCs w:val="24"/>
        </w:rPr>
      </w:pPr>
      <w:r w:rsidRPr="004B497C">
        <w:rPr>
          <w:sz w:val="24"/>
          <w:szCs w:val="24"/>
        </w:rPr>
        <w:t>133 -003 /PB  Rachunek budżetu – fundusze pomocowe – udział BP</w:t>
      </w:r>
    </w:p>
    <w:p w:rsidR="00462630" w:rsidRPr="004B497C" w:rsidRDefault="00462630" w:rsidP="004B497C">
      <w:pPr>
        <w:pStyle w:val="Akapitzlist"/>
        <w:numPr>
          <w:ilvl w:val="0"/>
          <w:numId w:val="6"/>
        </w:numPr>
        <w:spacing w:line="240" w:lineRule="auto"/>
        <w:jc w:val="both"/>
        <w:rPr>
          <w:sz w:val="24"/>
          <w:szCs w:val="24"/>
        </w:rPr>
      </w:pPr>
      <w:r w:rsidRPr="004B497C">
        <w:rPr>
          <w:sz w:val="24"/>
          <w:szCs w:val="24"/>
        </w:rPr>
        <w:t>223 -003 rozliczenie wydatków budżetowych,</w:t>
      </w:r>
    </w:p>
    <w:p w:rsidR="00462630" w:rsidRPr="004B497C" w:rsidRDefault="00462630" w:rsidP="004B497C">
      <w:pPr>
        <w:pStyle w:val="Akapitzlist"/>
        <w:numPr>
          <w:ilvl w:val="0"/>
          <w:numId w:val="6"/>
        </w:numPr>
        <w:spacing w:line="240" w:lineRule="auto"/>
        <w:jc w:val="both"/>
        <w:rPr>
          <w:sz w:val="24"/>
          <w:szCs w:val="24"/>
        </w:rPr>
      </w:pPr>
      <w:r w:rsidRPr="004B497C">
        <w:rPr>
          <w:sz w:val="24"/>
          <w:szCs w:val="24"/>
        </w:rPr>
        <w:t>240 –003 Pozostałe rozrachunki,</w:t>
      </w:r>
    </w:p>
    <w:p w:rsidR="00462630" w:rsidRPr="004B497C" w:rsidRDefault="00462630" w:rsidP="004B497C">
      <w:pPr>
        <w:pStyle w:val="Akapitzlist"/>
        <w:numPr>
          <w:ilvl w:val="0"/>
          <w:numId w:val="6"/>
        </w:numPr>
        <w:spacing w:line="240" w:lineRule="auto"/>
        <w:jc w:val="both"/>
        <w:rPr>
          <w:sz w:val="24"/>
          <w:szCs w:val="24"/>
        </w:rPr>
      </w:pPr>
      <w:r w:rsidRPr="004B497C">
        <w:rPr>
          <w:sz w:val="24"/>
          <w:szCs w:val="24"/>
        </w:rPr>
        <w:t>901 -003 Dochody budżetu,</w:t>
      </w:r>
    </w:p>
    <w:p w:rsidR="00462630" w:rsidRPr="004B497C" w:rsidRDefault="00462630" w:rsidP="004B497C">
      <w:pPr>
        <w:pStyle w:val="Akapitzlist"/>
        <w:numPr>
          <w:ilvl w:val="0"/>
          <w:numId w:val="6"/>
        </w:numPr>
        <w:spacing w:line="240" w:lineRule="auto"/>
        <w:jc w:val="both"/>
        <w:rPr>
          <w:sz w:val="24"/>
          <w:szCs w:val="24"/>
        </w:rPr>
      </w:pPr>
      <w:r w:rsidRPr="004B497C">
        <w:rPr>
          <w:sz w:val="24"/>
          <w:szCs w:val="24"/>
        </w:rPr>
        <w:t>902 -003 Wydatki budżetu</w:t>
      </w:r>
    </w:p>
    <w:p w:rsidR="00462630" w:rsidRPr="004B497C" w:rsidRDefault="00462630" w:rsidP="004B497C">
      <w:pPr>
        <w:pStyle w:val="Akapitzlist"/>
        <w:numPr>
          <w:ilvl w:val="0"/>
          <w:numId w:val="6"/>
        </w:numPr>
        <w:spacing w:line="240" w:lineRule="auto"/>
        <w:jc w:val="both"/>
        <w:rPr>
          <w:sz w:val="24"/>
          <w:szCs w:val="24"/>
        </w:rPr>
      </w:pPr>
      <w:r w:rsidRPr="004B497C">
        <w:rPr>
          <w:sz w:val="24"/>
          <w:szCs w:val="24"/>
        </w:rPr>
        <w:t>961 Wynik wykonania budżetu</w:t>
      </w:r>
    </w:p>
    <w:p w:rsidR="00462630" w:rsidRPr="004B497C" w:rsidRDefault="00462630" w:rsidP="004B497C">
      <w:pPr>
        <w:pStyle w:val="Akapitzlist"/>
        <w:numPr>
          <w:ilvl w:val="0"/>
          <w:numId w:val="5"/>
        </w:numPr>
        <w:spacing w:line="240" w:lineRule="auto"/>
        <w:jc w:val="both"/>
        <w:rPr>
          <w:sz w:val="24"/>
          <w:szCs w:val="24"/>
        </w:rPr>
      </w:pPr>
      <w:r w:rsidRPr="004B497C">
        <w:rPr>
          <w:sz w:val="24"/>
          <w:szCs w:val="24"/>
        </w:rPr>
        <w:t>Opis kont – stosuje się odpowiednio opis kont organu, przyjęty zarządzeniem 34/2010 Wó</w:t>
      </w:r>
      <w:r w:rsidR="00471CED" w:rsidRPr="004B497C">
        <w:rPr>
          <w:sz w:val="24"/>
          <w:szCs w:val="24"/>
        </w:rPr>
        <w:t>jta Gminy Dzierząż</w:t>
      </w:r>
      <w:r w:rsidRPr="004B497C">
        <w:rPr>
          <w:sz w:val="24"/>
          <w:szCs w:val="24"/>
        </w:rPr>
        <w:t>nia z dnia 29 grudnia 2010 roku ze zmianami</w:t>
      </w:r>
      <w:r w:rsidR="00471CED" w:rsidRPr="004B497C">
        <w:rPr>
          <w:sz w:val="24"/>
          <w:szCs w:val="24"/>
        </w:rPr>
        <w:t xml:space="preserve">, </w:t>
      </w:r>
      <w:r w:rsidR="004B497C">
        <w:rPr>
          <w:sz w:val="24"/>
          <w:szCs w:val="24"/>
        </w:rPr>
        <w:t xml:space="preserve">                         </w:t>
      </w:r>
      <w:r w:rsidR="00471CED" w:rsidRPr="004B497C">
        <w:rPr>
          <w:sz w:val="24"/>
          <w:szCs w:val="24"/>
        </w:rPr>
        <w:t>z zastrzeżeniem, iż ww. konta służą wyłącznie do ewidencji operacji dotyczących realizacji Projektu.</w:t>
      </w:r>
    </w:p>
    <w:p w:rsidR="00471CED" w:rsidRPr="004B497C" w:rsidRDefault="00471CED" w:rsidP="004B497C">
      <w:pPr>
        <w:pStyle w:val="Akapitzlist"/>
        <w:numPr>
          <w:ilvl w:val="0"/>
          <w:numId w:val="5"/>
        </w:numPr>
        <w:spacing w:line="240" w:lineRule="auto"/>
        <w:jc w:val="both"/>
        <w:rPr>
          <w:sz w:val="24"/>
          <w:szCs w:val="24"/>
        </w:rPr>
      </w:pPr>
      <w:r w:rsidRPr="004B497C">
        <w:rPr>
          <w:sz w:val="24"/>
          <w:szCs w:val="24"/>
        </w:rPr>
        <w:t>Plan kont jednostki realizującej Projekt – Urzędu Gminy w Dzierzążni.</w:t>
      </w:r>
    </w:p>
    <w:p w:rsidR="00471CED" w:rsidRPr="004B497C" w:rsidRDefault="00471CED" w:rsidP="004B497C">
      <w:pPr>
        <w:pStyle w:val="Akapitzlist"/>
        <w:spacing w:line="240" w:lineRule="auto"/>
        <w:ind w:left="1080"/>
        <w:jc w:val="both"/>
        <w:rPr>
          <w:sz w:val="24"/>
          <w:szCs w:val="24"/>
        </w:rPr>
      </w:pPr>
      <w:r w:rsidRPr="004B497C">
        <w:rPr>
          <w:sz w:val="24"/>
          <w:szCs w:val="24"/>
        </w:rPr>
        <w:t>Wykaz kont</w:t>
      </w:r>
    </w:p>
    <w:p w:rsidR="00471CED" w:rsidRPr="004B497C" w:rsidRDefault="00471CED" w:rsidP="004B497C">
      <w:pPr>
        <w:pStyle w:val="Akapitzlist"/>
        <w:numPr>
          <w:ilvl w:val="0"/>
          <w:numId w:val="7"/>
        </w:numPr>
        <w:spacing w:line="240" w:lineRule="auto"/>
        <w:jc w:val="both"/>
        <w:rPr>
          <w:sz w:val="24"/>
          <w:szCs w:val="24"/>
        </w:rPr>
      </w:pPr>
      <w:r w:rsidRPr="004B497C">
        <w:rPr>
          <w:sz w:val="24"/>
          <w:szCs w:val="24"/>
        </w:rPr>
        <w:t>Konta bilansowe:</w:t>
      </w:r>
    </w:p>
    <w:p w:rsidR="00471CED" w:rsidRPr="004B497C" w:rsidRDefault="0024620B" w:rsidP="004B497C">
      <w:pPr>
        <w:pStyle w:val="Akapitzlist"/>
        <w:spacing w:line="240" w:lineRule="auto"/>
        <w:ind w:left="1440"/>
        <w:jc w:val="both"/>
        <w:rPr>
          <w:sz w:val="24"/>
          <w:szCs w:val="24"/>
        </w:rPr>
      </w:pPr>
      <w:r w:rsidRPr="004B497C">
        <w:rPr>
          <w:sz w:val="24"/>
          <w:szCs w:val="24"/>
        </w:rPr>
        <w:t>011 / UE- środki trwałe</w:t>
      </w:r>
    </w:p>
    <w:p w:rsidR="0024620B" w:rsidRPr="004B497C" w:rsidRDefault="0024620B" w:rsidP="004B497C">
      <w:pPr>
        <w:pStyle w:val="Akapitzlist"/>
        <w:spacing w:line="240" w:lineRule="auto"/>
        <w:ind w:left="1440"/>
        <w:jc w:val="both"/>
        <w:rPr>
          <w:sz w:val="24"/>
          <w:szCs w:val="24"/>
        </w:rPr>
      </w:pPr>
      <w:r w:rsidRPr="004B497C">
        <w:rPr>
          <w:sz w:val="24"/>
          <w:szCs w:val="24"/>
        </w:rPr>
        <w:t>011/BP- środki trwałe</w:t>
      </w:r>
    </w:p>
    <w:p w:rsidR="0024620B" w:rsidRPr="004B497C" w:rsidRDefault="0024620B" w:rsidP="004B497C">
      <w:pPr>
        <w:pStyle w:val="Akapitzlist"/>
        <w:spacing w:line="240" w:lineRule="auto"/>
        <w:ind w:left="1440"/>
        <w:jc w:val="both"/>
        <w:rPr>
          <w:sz w:val="24"/>
          <w:szCs w:val="24"/>
        </w:rPr>
      </w:pPr>
      <w:r w:rsidRPr="004B497C">
        <w:rPr>
          <w:sz w:val="24"/>
          <w:szCs w:val="24"/>
        </w:rPr>
        <w:t>013 / UE – pozostałe środki trwałe</w:t>
      </w:r>
    </w:p>
    <w:p w:rsidR="0024620B" w:rsidRPr="004B497C" w:rsidRDefault="0024620B" w:rsidP="004B497C">
      <w:pPr>
        <w:pStyle w:val="Akapitzlist"/>
        <w:spacing w:line="240" w:lineRule="auto"/>
        <w:ind w:left="1440"/>
        <w:jc w:val="both"/>
        <w:rPr>
          <w:sz w:val="24"/>
          <w:szCs w:val="24"/>
        </w:rPr>
      </w:pPr>
      <w:r w:rsidRPr="004B497C">
        <w:rPr>
          <w:sz w:val="24"/>
          <w:szCs w:val="24"/>
        </w:rPr>
        <w:t>013 /BP– pozostałe środki trwałe</w:t>
      </w:r>
    </w:p>
    <w:p w:rsidR="0024620B" w:rsidRPr="004B497C" w:rsidRDefault="0024620B" w:rsidP="004B497C">
      <w:pPr>
        <w:pStyle w:val="Akapitzlist"/>
        <w:spacing w:line="240" w:lineRule="auto"/>
        <w:ind w:left="1440"/>
        <w:jc w:val="both"/>
        <w:rPr>
          <w:sz w:val="24"/>
          <w:szCs w:val="24"/>
        </w:rPr>
      </w:pPr>
      <w:r w:rsidRPr="004B497C">
        <w:rPr>
          <w:sz w:val="24"/>
          <w:szCs w:val="24"/>
        </w:rPr>
        <w:t xml:space="preserve">071/ UE umorzenie środków trwałych oraz wartości niematerialnych </w:t>
      </w:r>
      <w:r w:rsidR="004B497C">
        <w:rPr>
          <w:sz w:val="24"/>
          <w:szCs w:val="24"/>
        </w:rPr>
        <w:t xml:space="preserve">                                 </w:t>
      </w:r>
      <w:r w:rsidRPr="004B497C">
        <w:rPr>
          <w:sz w:val="24"/>
          <w:szCs w:val="24"/>
        </w:rPr>
        <w:t>i prawnych</w:t>
      </w:r>
    </w:p>
    <w:p w:rsidR="0024620B" w:rsidRPr="004B497C" w:rsidRDefault="0024620B" w:rsidP="004B497C">
      <w:pPr>
        <w:pStyle w:val="Akapitzlist"/>
        <w:spacing w:line="240" w:lineRule="auto"/>
        <w:ind w:left="1440"/>
        <w:jc w:val="both"/>
        <w:rPr>
          <w:sz w:val="24"/>
          <w:szCs w:val="24"/>
        </w:rPr>
      </w:pPr>
      <w:r w:rsidRPr="004B497C">
        <w:rPr>
          <w:sz w:val="24"/>
          <w:szCs w:val="24"/>
        </w:rPr>
        <w:t xml:space="preserve">071/ PB- umorzenie środków trwałych oraz wartości niematerialnych </w:t>
      </w:r>
      <w:r w:rsidR="004B497C">
        <w:rPr>
          <w:sz w:val="24"/>
          <w:szCs w:val="24"/>
        </w:rPr>
        <w:t xml:space="preserve">                       </w:t>
      </w:r>
      <w:r w:rsidRPr="004B497C">
        <w:rPr>
          <w:sz w:val="24"/>
          <w:szCs w:val="24"/>
        </w:rPr>
        <w:t>i prawnych</w:t>
      </w:r>
    </w:p>
    <w:p w:rsidR="0024620B" w:rsidRPr="004B497C" w:rsidRDefault="0024620B" w:rsidP="004B497C">
      <w:pPr>
        <w:pStyle w:val="Akapitzlist"/>
        <w:spacing w:line="240" w:lineRule="auto"/>
        <w:ind w:left="1440"/>
        <w:jc w:val="both"/>
        <w:rPr>
          <w:sz w:val="24"/>
          <w:szCs w:val="24"/>
        </w:rPr>
      </w:pPr>
      <w:r w:rsidRPr="004B497C">
        <w:rPr>
          <w:sz w:val="24"/>
          <w:szCs w:val="24"/>
        </w:rPr>
        <w:t>072 /UE- umorzenie pozostałych  środków trwałych oraz wartości niematerialnych i prawnych</w:t>
      </w:r>
    </w:p>
    <w:p w:rsidR="0024620B" w:rsidRPr="004B497C" w:rsidRDefault="0024620B" w:rsidP="004B497C">
      <w:pPr>
        <w:spacing w:line="240" w:lineRule="auto"/>
        <w:jc w:val="both"/>
        <w:rPr>
          <w:sz w:val="24"/>
          <w:szCs w:val="24"/>
        </w:rPr>
      </w:pPr>
    </w:p>
    <w:p w:rsidR="0024620B" w:rsidRPr="004B497C" w:rsidRDefault="0024620B" w:rsidP="004B497C">
      <w:pPr>
        <w:pStyle w:val="Akapitzlist"/>
        <w:spacing w:line="240" w:lineRule="auto"/>
        <w:ind w:left="1440"/>
        <w:jc w:val="both"/>
        <w:rPr>
          <w:sz w:val="24"/>
          <w:szCs w:val="24"/>
        </w:rPr>
      </w:pPr>
      <w:r w:rsidRPr="004B497C">
        <w:rPr>
          <w:sz w:val="24"/>
          <w:szCs w:val="24"/>
        </w:rPr>
        <w:t>072 BP- umorzenie pozostałych  środków trwałych oraz wartości niematerialnych i prawnych</w:t>
      </w:r>
    </w:p>
    <w:p w:rsidR="0024620B" w:rsidRPr="004B497C" w:rsidRDefault="0024620B" w:rsidP="004B497C">
      <w:pPr>
        <w:pStyle w:val="Akapitzlist"/>
        <w:spacing w:line="240" w:lineRule="auto"/>
        <w:ind w:left="1440"/>
        <w:jc w:val="both"/>
        <w:rPr>
          <w:sz w:val="24"/>
          <w:szCs w:val="24"/>
        </w:rPr>
      </w:pPr>
      <w:r w:rsidRPr="004B497C">
        <w:rPr>
          <w:sz w:val="24"/>
          <w:szCs w:val="24"/>
        </w:rPr>
        <w:t>080/UE – inwestycje (środki trwałe w budowie)</w:t>
      </w:r>
    </w:p>
    <w:p w:rsidR="0024620B" w:rsidRPr="004B497C" w:rsidRDefault="0024620B" w:rsidP="004B497C">
      <w:pPr>
        <w:pStyle w:val="Akapitzlist"/>
        <w:spacing w:line="240" w:lineRule="auto"/>
        <w:ind w:left="1440"/>
        <w:jc w:val="both"/>
        <w:rPr>
          <w:sz w:val="24"/>
          <w:szCs w:val="24"/>
        </w:rPr>
      </w:pPr>
      <w:r w:rsidRPr="004B497C">
        <w:rPr>
          <w:sz w:val="24"/>
          <w:szCs w:val="24"/>
        </w:rPr>
        <w:t>080/PB inwestycje (środki trwałe w budowie)</w:t>
      </w:r>
    </w:p>
    <w:p w:rsidR="0024620B" w:rsidRPr="004B497C" w:rsidRDefault="0024620B" w:rsidP="004B497C">
      <w:pPr>
        <w:pStyle w:val="Akapitzlist"/>
        <w:spacing w:line="240" w:lineRule="auto"/>
        <w:ind w:left="1440"/>
        <w:jc w:val="both"/>
        <w:rPr>
          <w:sz w:val="24"/>
          <w:szCs w:val="24"/>
        </w:rPr>
      </w:pPr>
      <w:r w:rsidRPr="004B497C">
        <w:rPr>
          <w:sz w:val="24"/>
          <w:szCs w:val="24"/>
        </w:rPr>
        <w:t>130/UE- rachunek bieżący jednostki – udział UE</w:t>
      </w:r>
    </w:p>
    <w:p w:rsidR="0024620B" w:rsidRPr="004B497C" w:rsidRDefault="0024620B" w:rsidP="004B497C">
      <w:pPr>
        <w:pStyle w:val="Akapitzlist"/>
        <w:spacing w:line="240" w:lineRule="auto"/>
        <w:ind w:left="1440"/>
        <w:jc w:val="both"/>
        <w:rPr>
          <w:sz w:val="24"/>
          <w:szCs w:val="24"/>
        </w:rPr>
      </w:pPr>
      <w:r w:rsidRPr="004B497C">
        <w:rPr>
          <w:sz w:val="24"/>
          <w:szCs w:val="24"/>
        </w:rPr>
        <w:t>130/BP rachunek bieżący jednostki – udział BP</w:t>
      </w:r>
    </w:p>
    <w:p w:rsidR="0024620B" w:rsidRPr="004B497C" w:rsidRDefault="0024620B" w:rsidP="004B497C">
      <w:pPr>
        <w:pStyle w:val="Akapitzlist"/>
        <w:spacing w:line="240" w:lineRule="auto"/>
        <w:ind w:left="1440"/>
        <w:jc w:val="both"/>
        <w:rPr>
          <w:sz w:val="24"/>
          <w:szCs w:val="24"/>
        </w:rPr>
      </w:pPr>
      <w:r w:rsidRPr="004B497C">
        <w:rPr>
          <w:sz w:val="24"/>
          <w:szCs w:val="24"/>
        </w:rPr>
        <w:t>201/UE- rozrachunki z dostawcami i odbiorcami</w:t>
      </w:r>
    </w:p>
    <w:p w:rsidR="0024620B" w:rsidRPr="004B497C" w:rsidRDefault="0024620B" w:rsidP="004B497C">
      <w:pPr>
        <w:pStyle w:val="Akapitzlist"/>
        <w:spacing w:line="240" w:lineRule="auto"/>
        <w:ind w:left="1440"/>
        <w:jc w:val="both"/>
        <w:rPr>
          <w:sz w:val="24"/>
          <w:szCs w:val="24"/>
        </w:rPr>
      </w:pPr>
      <w:r w:rsidRPr="004B497C">
        <w:rPr>
          <w:sz w:val="24"/>
          <w:szCs w:val="24"/>
        </w:rPr>
        <w:t>201/BP- - rozrachunki z dostawcami i odbiorcami</w:t>
      </w:r>
    </w:p>
    <w:p w:rsidR="0024620B" w:rsidRPr="004B497C" w:rsidRDefault="0024620B" w:rsidP="004B497C">
      <w:pPr>
        <w:pStyle w:val="Akapitzlist"/>
        <w:spacing w:line="240" w:lineRule="auto"/>
        <w:ind w:left="1440"/>
        <w:jc w:val="both"/>
        <w:rPr>
          <w:sz w:val="24"/>
          <w:szCs w:val="24"/>
        </w:rPr>
      </w:pPr>
      <w:r w:rsidRPr="004B497C">
        <w:rPr>
          <w:sz w:val="24"/>
          <w:szCs w:val="24"/>
        </w:rPr>
        <w:t>223 /UE – rozliczenie wydatków budżetowych</w:t>
      </w:r>
    </w:p>
    <w:p w:rsidR="0024620B" w:rsidRPr="004B497C" w:rsidRDefault="0024620B" w:rsidP="004B497C">
      <w:pPr>
        <w:pStyle w:val="Akapitzlist"/>
        <w:spacing w:line="240" w:lineRule="auto"/>
        <w:ind w:left="1440"/>
        <w:jc w:val="both"/>
        <w:rPr>
          <w:sz w:val="24"/>
          <w:szCs w:val="24"/>
        </w:rPr>
      </w:pPr>
      <w:r w:rsidRPr="004B497C">
        <w:rPr>
          <w:sz w:val="24"/>
          <w:szCs w:val="24"/>
        </w:rPr>
        <w:t>223/BP-  rozliczenie wydatków budżetowych</w:t>
      </w:r>
    </w:p>
    <w:p w:rsidR="00471CED" w:rsidRPr="004B497C" w:rsidRDefault="0024620B" w:rsidP="004B497C">
      <w:pPr>
        <w:pStyle w:val="Akapitzlist"/>
        <w:spacing w:line="240" w:lineRule="auto"/>
        <w:ind w:left="1440"/>
        <w:jc w:val="both"/>
        <w:rPr>
          <w:sz w:val="24"/>
          <w:szCs w:val="24"/>
        </w:rPr>
      </w:pPr>
      <w:r w:rsidRPr="004B497C">
        <w:rPr>
          <w:sz w:val="24"/>
          <w:szCs w:val="24"/>
        </w:rPr>
        <w:t>401/UE – zużycie materiałów i energii</w:t>
      </w:r>
    </w:p>
    <w:p w:rsidR="0024620B" w:rsidRPr="004B497C" w:rsidRDefault="0024620B" w:rsidP="004B497C">
      <w:pPr>
        <w:pStyle w:val="Akapitzlist"/>
        <w:spacing w:line="240" w:lineRule="auto"/>
        <w:ind w:left="1440"/>
        <w:jc w:val="both"/>
        <w:rPr>
          <w:sz w:val="24"/>
          <w:szCs w:val="24"/>
        </w:rPr>
      </w:pPr>
      <w:r w:rsidRPr="004B497C">
        <w:rPr>
          <w:sz w:val="24"/>
          <w:szCs w:val="24"/>
        </w:rPr>
        <w:t>401/BP- zużycie materiałów i energii</w:t>
      </w:r>
    </w:p>
    <w:p w:rsidR="0024620B" w:rsidRPr="004B497C" w:rsidRDefault="0024620B" w:rsidP="004B497C">
      <w:pPr>
        <w:pStyle w:val="Akapitzlist"/>
        <w:spacing w:line="240" w:lineRule="auto"/>
        <w:ind w:left="1440"/>
        <w:jc w:val="both"/>
        <w:rPr>
          <w:sz w:val="24"/>
          <w:szCs w:val="24"/>
        </w:rPr>
      </w:pPr>
      <w:r w:rsidRPr="004B497C">
        <w:rPr>
          <w:sz w:val="24"/>
          <w:szCs w:val="24"/>
        </w:rPr>
        <w:t>402/ UE – usługi obce</w:t>
      </w:r>
    </w:p>
    <w:p w:rsidR="0024620B" w:rsidRPr="004B497C" w:rsidRDefault="0024620B" w:rsidP="004B497C">
      <w:pPr>
        <w:pStyle w:val="Akapitzlist"/>
        <w:spacing w:line="240" w:lineRule="auto"/>
        <w:ind w:left="1440"/>
        <w:jc w:val="both"/>
        <w:rPr>
          <w:sz w:val="24"/>
          <w:szCs w:val="24"/>
        </w:rPr>
      </w:pPr>
      <w:r w:rsidRPr="004B497C">
        <w:rPr>
          <w:sz w:val="24"/>
          <w:szCs w:val="24"/>
        </w:rPr>
        <w:t>402/PB - usługi obce</w:t>
      </w:r>
    </w:p>
    <w:p w:rsidR="0024620B" w:rsidRPr="004B497C" w:rsidRDefault="0024620B" w:rsidP="004B497C">
      <w:pPr>
        <w:pStyle w:val="Akapitzlist"/>
        <w:spacing w:line="240" w:lineRule="auto"/>
        <w:ind w:left="1440"/>
        <w:jc w:val="both"/>
        <w:rPr>
          <w:sz w:val="24"/>
          <w:szCs w:val="24"/>
        </w:rPr>
      </w:pPr>
      <w:r w:rsidRPr="004B497C">
        <w:rPr>
          <w:sz w:val="24"/>
          <w:szCs w:val="24"/>
        </w:rPr>
        <w:t>409/UE- Pozostałe koszty rodzajowe</w:t>
      </w:r>
    </w:p>
    <w:p w:rsidR="0024620B" w:rsidRPr="004B497C" w:rsidRDefault="0024620B" w:rsidP="004B497C">
      <w:pPr>
        <w:pStyle w:val="Akapitzlist"/>
        <w:spacing w:line="240" w:lineRule="auto"/>
        <w:ind w:left="1440"/>
        <w:jc w:val="both"/>
        <w:rPr>
          <w:sz w:val="24"/>
          <w:szCs w:val="24"/>
        </w:rPr>
      </w:pPr>
      <w:r w:rsidRPr="004B497C">
        <w:rPr>
          <w:sz w:val="24"/>
          <w:szCs w:val="24"/>
        </w:rPr>
        <w:t>409/BP Pozostałe koszty rodzajowe</w:t>
      </w:r>
    </w:p>
    <w:p w:rsidR="0024620B" w:rsidRPr="004B497C" w:rsidRDefault="0024620B" w:rsidP="004B497C">
      <w:pPr>
        <w:pStyle w:val="Akapitzlist"/>
        <w:spacing w:line="240" w:lineRule="auto"/>
        <w:ind w:left="1440"/>
        <w:jc w:val="both"/>
        <w:rPr>
          <w:sz w:val="24"/>
          <w:szCs w:val="24"/>
        </w:rPr>
      </w:pPr>
      <w:r w:rsidRPr="004B497C">
        <w:rPr>
          <w:sz w:val="24"/>
          <w:szCs w:val="24"/>
        </w:rPr>
        <w:t>800 – Fundusz jednostki</w:t>
      </w:r>
    </w:p>
    <w:p w:rsidR="0024620B" w:rsidRPr="004B497C" w:rsidRDefault="0024620B" w:rsidP="004B497C">
      <w:pPr>
        <w:pStyle w:val="Akapitzlist"/>
        <w:spacing w:line="240" w:lineRule="auto"/>
        <w:ind w:left="1440"/>
        <w:jc w:val="both"/>
        <w:rPr>
          <w:sz w:val="24"/>
          <w:szCs w:val="24"/>
        </w:rPr>
      </w:pPr>
      <w:r w:rsidRPr="004B497C">
        <w:rPr>
          <w:sz w:val="24"/>
          <w:szCs w:val="24"/>
        </w:rPr>
        <w:t xml:space="preserve">810 – dotacje </w:t>
      </w:r>
      <w:r w:rsidR="004B497C" w:rsidRPr="004B497C">
        <w:rPr>
          <w:sz w:val="24"/>
          <w:szCs w:val="24"/>
        </w:rPr>
        <w:t>budżetowe, płatności z budżetu środków europejskich oraz środki z budżetu na inwestycje</w:t>
      </w:r>
    </w:p>
    <w:p w:rsidR="0024620B" w:rsidRPr="004B497C" w:rsidRDefault="0024620B" w:rsidP="004B497C">
      <w:pPr>
        <w:pStyle w:val="Akapitzlist"/>
        <w:spacing w:line="240" w:lineRule="auto"/>
        <w:ind w:left="1440"/>
        <w:jc w:val="both"/>
        <w:rPr>
          <w:sz w:val="24"/>
          <w:szCs w:val="24"/>
        </w:rPr>
      </w:pPr>
      <w:r w:rsidRPr="004B497C">
        <w:rPr>
          <w:sz w:val="24"/>
          <w:szCs w:val="24"/>
        </w:rPr>
        <w:t>860</w:t>
      </w:r>
      <w:r w:rsidR="004B497C" w:rsidRPr="004B497C">
        <w:rPr>
          <w:sz w:val="24"/>
          <w:szCs w:val="24"/>
        </w:rPr>
        <w:t xml:space="preserve"> wynik finansowy.</w:t>
      </w:r>
    </w:p>
    <w:p w:rsidR="004B497C" w:rsidRPr="004B497C" w:rsidRDefault="004B497C" w:rsidP="004B497C">
      <w:pPr>
        <w:pStyle w:val="Akapitzlist"/>
        <w:numPr>
          <w:ilvl w:val="0"/>
          <w:numId w:val="7"/>
        </w:numPr>
        <w:spacing w:line="240" w:lineRule="auto"/>
        <w:jc w:val="both"/>
        <w:rPr>
          <w:sz w:val="24"/>
          <w:szCs w:val="24"/>
        </w:rPr>
      </w:pPr>
      <w:r w:rsidRPr="004B497C">
        <w:rPr>
          <w:sz w:val="24"/>
          <w:szCs w:val="24"/>
        </w:rPr>
        <w:t>Konta pozabilanowe</w:t>
      </w:r>
    </w:p>
    <w:p w:rsidR="004B497C" w:rsidRPr="004B497C" w:rsidRDefault="004B497C" w:rsidP="004B497C">
      <w:pPr>
        <w:pStyle w:val="Akapitzlist"/>
        <w:spacing w:line="240" w:lineRule="auto"/>
        <w:ind w:left="1440"/>
        <w:jc w:val="both"/>
        <w:rPr>
          <w:sz w:val="24"/>
          <w:szCs w:val="24"/>
        </w:rPr>
      </w:pPr>
      <w:r w:rsidRPr="004B497C">
        <w:rPr>
          <w:sz w:val="24"/>
          <w:szCs w:val="24"/>
        </w:rPr>
        <w:t>980 plan finansowy wydatków roku bieżącego</w:t>
      </w:r>
    </w:p>
    <w:p w:rsidR="004B497C" w:rsidRPr="004B497C" w:rsidRDefault="004B497C" w:rsidP="004B497C">
      <w:pPr>
        <w:pStyle w:val="Akapitzlist"/>
        <w:spacing w:line="240" w:lineRule="auto"/>
        <w:ind w:left="1440"/>
        <w:jc w:val="both"/>
        <w:rPr>
          <w:sz w:val="24"/>
          <w:szCs w:val="24"/>
        </w:rPr>
      </w:pPr>
      <w:r w:rsidRPr="004B497C">
        <w:rPr>
          <w:sz w:val="24"/>
          <w:szCs w:val="24"/>
        </w:rPr>
        <w:t>998 – zaangażowanie wydatków budżetowych roku bieżącego</w:t>
      </w:r>
    </w:p>
    <w:p w:rsidR="004B497C" w:rsidRPr="004B497C" w:rsidRDefault="004B497C" w:rsidP="004B497C">
      <w:pPr>
        <w:pStyle w:val="Akapitzlist"/>
        <w:numPr>
          <w:ilvl w:val="0"/>
          <w:numId w:val="5"/>
        </w:numPr>
        <w:jc w:val="both"/>
        <w:rPr>
          <w:sz w:val="24"/>
          <w:szCs w:val="24"/>
        </w:rPr>
      </w:pPr>
      <w:r w:rsidRPr="004B497C">
        <w:rPr>
          <w:sz w:val="24"/>
          <w:szCs w:val="24"/>
        </w:rPr>
        <w:t>Opis kont – stosuje się odpowiednio opis kont organu, przyjęty zarządzeniem 34/2010 Wójta Gminy Dzierzążnia z dnia 29 grudnia 2010 roku ze zmianami, z zastrzeżeniem, iż ww. konta służą wyłącznie do ewidencji operacji dotyczących realizacji Projektu.</w:t>
      </w:r>
    </w:p>
    <w:p w:rsidR="004B497C" w:rsidRPr="004B497C" w:rsidRDefault="004B497C" w:rsidP="004B497C">
      <w:pPr>
        <w:pStyle w:val="Akapitzlist"/>
        <w:spacing w:line="240" w:lineRule="auto"/>
        <w:ind w:left="1080"/>
        <w:jc w:val="both"/>
        <w:rPr>
          <w:sz w:val="24"/>
          <w:szCs w:val="24"/>
        </w:rPr>
      </w:pPr>
    </w:p>
    <w:sectPr w:rsidR="004B497C" w:rsidRPr="004B49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628" w:rsidRDefault="000E1628" w:rsidP="000E1628">
      <w:pPr>
        <w:spacing w:after="0" w:line="240" w:lineRule="auto"/>
      </w:pPr>
      <w:r>
        <w:separator/>
      </w:r>
    </w:p>
  </w:endnote>
  <w:endnote w:type="continuationSeparator" w:id="0">
    <w:p w:rsidR="000E1628" w:rsidRDefault="000E1628" w:rsidP="000E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628" w:rsidRDefault="000E1628" w:rsidP="000E1628">
      <w:pPr>
        <w:spacing w:after="0" w:line="240" w:lineRule="auto"/>
      </w:pPr>
      <w:r>
        <w:separator/>
      </w:r>
    </w:p>
  </w:footnote>
  <w:footnote w:type="continuationSeparator" w:id="0">
    <w:p w:rsidR="000E1628" w:rsidRDefault="000E1628" w:rsidP="000E1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46F03"/>
    <w:multiLevelType w:val="hybridMultilevel"/>
    <w:tmpl w:val="F68AD1DC"/>
    <w:lvl w:ilvl="0" w:tplc="A03833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B14565"/>
    <w:multiLevelType w:val="hybridMultilevel"/>
    <w:tmpl w:val="ACE2EFE4"/>
    <w:lvl w:ilvl="0" w:tplc="7CD6B1D4">
      <w:start w:val="1"/>
      <w:numFmt w:val="decimal"/>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
    <w:nsid w:val="1A5F70AB"/>
    <w:multiLevelType w:val="hybridMultilevel"/>
    <w:tmpl w:val="D86AFE0E"/>
    <w:lvl w:ilvl="0" w:tplc="82CA06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D982CC8"/>
    <w:multiLevelType w:val="hybridMultilevel"/>
    <w:tmpl w:val="60BC6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4C08D2"/>
    <w:multiLevelType w:val="hybridMultilevel"/>
    <w:tmpl w:val="89120F9E"/>
    <w:lvl w:ilvl="0" w:tplc="6EB6B44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60F03208"/>
    <w:multiLevelType w:val="hybridMultilevel"/>
    <w:tmpl w:val="C99886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4D0224"/>
    <w:multiLevelType w:val="hybridMultilevel"/>
    <w:tmpl w:val="07A24568"/>
    <w:lvl w:ilvl="0" w:tplc="C728D7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28"/>
    <w:rsid w:val="000E1628"/>
    <w:rsid w:val="0024620B"/>
    <w:rsid w:val="00373022"/>
    <w:rsid w:val="00462630"/>
    <w:rsid w:val="00471CED"/>
    <w:rsid w:val="004B497C"/>
    <w:rsid w:val="004F00D4"/>
    <w:rsid w:val="004F56FD"/>
    <w:rsid w:val="00BF450B"/>
    <w:rsid w:val="00D5668A"/>
    <w:rsid w:val="00DD486C"/>
    <w:rsid w:val="00FB5C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4FEDE-73BE-4275-A88C-F8394490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16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1628"/>
  </w:style>
  <w:style w:type="paragraph" w:styleId="Stopka">
    <w:name w:val="footer"/>
    <w:basedOn w:val="Normalny"/>
    <w:link w:val="StopkaZnak"/>
    <w:uiPriority w:val="99"/>
    <w:unhideWhenUsed/>
    <w:rsid w:val="000E16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1628"/>
  </w:style>
  <w:style w:type="paragraph" w:styleId="Akapitzlist">
    <w:name w:val="List Paragraph"/>
    <w:basedOn w:val="Normalny"/>
    <w:uiPriority w:val="34"/>
    <w:qFormat/>
    <w:rsid w:val="00DD4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965811">
      <w:bodyDiv w:val="1"/>
      <w:marLeft w:val="0"/>
      <w:marRight w:val="0"/>
      <w:marTop w:val="0"/>
      <w:marBottom w:val="0"/>
      <w:divBdr>
        <w:top w:val="none" w:sz="0" w:space="0" w:color="auto"/>
        <w:left w:val="none" w:sz="0" w:space="0" w:color="auto"/>
        <w:bottom w:val="none" w:sz="0" w:space="0" w:color="auto"/>
        <w:right w:val="none" w:sz="0" w:space="0" w:color="auto"/>
      </w:divBdr>
    </w:div>
    <w:div w:id="14757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6789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Zawłocka</dc:creator>
  <cp:keywords/>
  <dc:description/>
  <cp:lastModifiedBy>Grażyna Zawłocka</cp:lastModifiedBy>
  <cp:revision>2</cp:revision>
  <dcterms:created xsi:type="dcterms:W3CDTF">2014-07-16T13:33:00Z</dcterms:created>
  <dcterms:modified xsi:type="dcterms:W3CDTF">2014-07-16T13:33:00Z</dcterms:modified>
</cp:coreProperties>
</file>